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ISTITUTO COMPRENSIVO 2 CECCANO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SCHEDA DI PROGRAMMAZIONE DISCIPLINARE DELLE ATTIVITÀ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SCUOLA PRIMARIA – CLASSI PRIME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A.S. 20..../20.....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Docente: 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Disciplina: ______________________________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Classe ______  sez. 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PREMESSA E RIFERIMENTI NORMATIVI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La presente programmazione disciplinare, elaborata in coerenza con il PTOF, il Curricolo d’Istituto e le programmazioni collegiali, recepisce le Indicazioni Nazionali per il curricolo della scuola dell’infanzia e del primo ciclo d’istruzione adottate con D.M. 9 dicembre 2025, n. 221. Per le classi prime della scuola primaria, a decorrere dall’a.s. 2026/2027, assume come riferimento le competenze attese, gli obiettivi specifici di apprendimento e le conoscenze previste per ciascuna disciplina, in raccordo con l’insegnamento dell’Educazione civica ai sensi della L. 92/2019 e successive disposizioni applicative.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COMPETENZE TRASVERSALI COINVOLTE NELLA 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1. ARTICOLAZIONE DELLA PROGRAMMAZIONE DISCIPLINARE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La programmazione è articolata in nuclei tematici, competenze attese, obiettivi specifici di apprendimento, conoscenze e tempi di realizzazione.</w:t>
      </w:r>
    </w:p>
    <w:tbl>
      <w:tblPr>
        <w:tblStyle w:val="Table1"/>
        <w:tblW w:w="986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57"/>
        <w:gridCol w:w="4705"/>
        <w:gridCol w:w="2268"/>
        <w:gridCol w:w="1134"/>
        <w:tblGridChange w:id="0">
          <w:tblGrid>
            <w:gridCol w:w="1757"/>
            <w:gridCol w:w="4705"/>
            <w:gridCol w:w="2268"/>
            <w:gridCol w:w="1134"/>
          </w:tblGrid>
        </w:tblGridChange>
      </w:tblGrid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DISCIPLINA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Nucleo tematico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Obiettivi specifici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b w:val="1"/>
          <w:bCs w:val="1"/>
          <w:rtl w:val="0"/>
        </w:rPr>
        <w:t xml:space="preserve">2. METODI E STRATEGIE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☐ Didattica laboratoriale ed esperienziale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☐ Lezione dialogata, narrazione e conversazione guidata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☐ Cooperative learning, lavoro a coppie e peer tutoring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☐ Problem solving, giochi di logica ed esplorazione guidata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☐ Approccio integrato STEM e attività di coding/pensiero computazionale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☐ Cura della grafomotricità e della scrittura manuale, con progressiva acquisizione del corsivo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☐ Attività di comprensione, rielaborazione e sintesi; lettura integrale guidata di albi e libri per l’infanzia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☐ Circle time ed educazione socio-affettiva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☐ Compiti autentici e situazioni-problema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☐ Attività interdisciplinari e raccordi con Educazione civica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☐ Attività metacognitive e di autovalutazione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☐ Attività di recupero, consolidamento e potenziamento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☐ Altro: _________________________________________________________________________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bCs w:val="1"/>
          <w:rtl w:val="0"/>
        </w:rPr>
        <w:t xml:space="preserve">3. STRUMENTI DIDATTICI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☐ Libro di testo e altri testi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☐ Materiali predisposti dal docente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☐ Monitor interattivo/LIM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☐ Dispositivi e strumenti digitali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☐ Piattaforme didattiche e cloud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☐ Software e applicazioni specifiche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☐ Lavagna tradizionale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☐ Materiali manipolativi e strutturati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☐ Strumenti compensativi, ove previsti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☐ Altro: _________________________________________________________________________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b w:val="1"/>
          <w:bCs w:val="1"/>
          <w:rtl w:val="0"/>
        </w:rPr>
        <w:t xml:space="preserve">4. INCLUSIONE E PERSONALIZZAZIONE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La progettazione didattica tiene conto dei diversi ritmi, stili e modalità di apprendimento e delle eventuali misure previste nei PEI e nei PDP, favorendo la piena partecipazione di tutti gli alunni.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Strategie di individualizzazione e personalizzazione: __________________________________________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Strumenti compensativi e/o misure dispensative, ove previsti: __________________________________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Strategie per il recupero, il consolidamento e il potenziamento: _________________________________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bCs w:val="1"/>
          <w:rtl w:val="0"/>
        </w:rPr>
        <w:t xml:space="preserve">5. VERIFICA E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La valutazione ha funzione formativa ed educativa, accompagna il processo di apprendimento e documenta i progressi dell’alunno rispetto alla situazione di partenza e agli obiettivi programmati. Essa è effettuata in coerenza con i criteri deliberati dal Collegio dei docenti e con il Protocollo di valutazione dell’Istituto.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Tipologie di verifica: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☐ Osservazioni sistematiche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☐ Prove pratiche e operative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☐ Prove orali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☐ Prove scritte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☐ Prove strutturate e semi-strutturate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☐ Compiti autentici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☐ Elaborati individuali e di gruppo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☐ Attività di autovalutazione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☐ Altro: _________________________________________________________________________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b w:val="1"/>
          <w:bCs w:val="1"/>
          <w:rtl w:val="0"/>
        </w:rPr>
        <w:t xml:space="preserve">6. RACCORDI INTERDISCIPLINARI ED EDUCAZIONE CIVICA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b w:val="1"/>
          <w:bCs w:val="1"/>
          <w:rtl w:val="0"/>
        </w:rPr>
        <w:t xml:space="preserve">7. MONITORAGGIO E RIMODULAZIONE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La programmazione potrà essere rimodulata in itinere sulla base degli esiti delle osservazioni, delle verifiche, dei bisogni formativi rilevati e dell’andamento complessivo del gruppo classe.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Ceccano, ____/____/________</w:t>
      </w:r>
    </w:p>
    <w:p w:rsidR="00000000" w:rsidDel="00000000" w:rsidP="00000000" w:rsidRDefault="00000000" w:rsidRPr="00000000" w14:paraId="00000066">
      <w:pPr>
        <w:jc w:val="right"/>
        <w:rPr/>
      </w:pPr>
      <w:r w:rsidDel="00000000" w:rsidR="00000000" w:rsidRPr="00000000">
        <w:rPr>
          <w:rtl w:val="0"/>
        </w:rPr>
        <w:t xml:space="preserve">Firma del docente ________________________________</w:t>
      </w:r>
    </w:p>
    <w:sectPr>
      <w:pgSz w:h="15840" w:w="12240" w:orient="portrait"/>
      <w:pgMar w:bottom="850" w:top="850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